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6397316ea0445d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14111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VIDOVEC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1.915.973,68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2.105.164,65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1.905.925,67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2.165.113,45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59.948,80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10.733,48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81.867,50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141.816,30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U razdoblju od 1. siječnja do 31. prosinca 2025. godine prihodi poslovanja ostvareni su u iznosu od 2.105.164,65 eura. Najznačajnije povećanje prihoda poslovanja ostvareno je od pomoći iz proračuna koji nam nije nadležan (plaće djelatnika) te iz nadležnog proračuna.  Rashodi poslovanja u razdoblju od 1. siječnja do 31. prosinca 2025. godine ostvareni su u iznosu od 2.165.113,45 eura. Najznačajnije novčano povećanje rashoda evidentirano je na rashodima za zaposlene zbog povećanja osnovica za plaće djelatnika te uslugama za tekuće i investicijsko održavanje radi Protokola o sigurnosti ulaska i izlaska u šk ustanovama zbog kojeg je trebalo osigurati tehničku prilagodbu u školi. U navedenom razdoblju nema ostvarenih prihoda od prodaje nefinancijske imovine, dok su rashodi za nabavu nefinancijske imovine ostvareni u iznosu od 81.867,50 eura. Najznačajniji rashodi odnose se na dodatna ulaganja na građevinskim objektima, a odnosi se na obnovu starog dijela škole.  U navedenom razdoblju nije bilo ostvarenih primitaka i izdataka od financijske imovine i zaduživanja. U predmetnom razdoblju nastao je manjak prihoda poslovanja u iznosu od 59.948,80 eura, manjak prihoda od nefinancijske imovine u iznosu od 81.867,50 eura, slijedom čega je na kraju izvještajnog razdoblja ostvaren ukupan manjak prihoda i primitaka u iznosu od 141.816,30 eura. Navedeni manjak prihoda odnosi se na rashode za zaposlene (plaće djelatnika) koji se od ove godine prikazuju na dan 31.12.2025., dok su se proteklih godina prikazivali na kontu 193 koji je ukinuti (Kontinuirani rashodi budućih razdoblja). Samim time nastao je manjak koji će biti pokriveni isplatom plaće u siječnju 2026. godine. Takvom rezultatu pridonosi i manjak prihoda za školsku kuhinju čiji su troškovi su nastali u prosincu ove godine, a čiji se prihodi očekuju tijekom siječnja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77.721,53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388,3</w:t>
            </w:r>
          </w:p>
        </w:tc>
      </w:tr>
    </w:tbl>
    <w:p>
      <w:pPr>
        <w:spacing w:before="0" w:after="0"/>
      </w:pPr>
    </w:p>
    <w:p>
      <w:r>
        <w:t xml:space="preserve">Prijenosi između proračunskih korisanika istog proračuna u iznosu od 77.721,53 eura odnose se na prihode Varaždinske županije. Prihodi se odnose na financiranje troškova plaća pomoćnika u nastavi, koji su se povećali u odnosu na proteklu godini radi povećanja broja pomoćnika kao i povećanja iznosa plaća.</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230,1</w:t>
            </w:r>
          </w:p>
        </w:tc>
      </w:tr>
    </w:tbl>
    <w:p>
      <w:pPr>
        <w:spacing w:before="0" w:after="0"/>
      </w:pPr>
    </w:p>
    <w:p>
      <w:r>
        <w:t xml:space="preserve">Prihodi od pruženih usluga povećali su zbog većeg broja iznajmljivanja školske dvorane u odnosu na proteklu godinu.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194.391,24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221.007,31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Prihodi od nadležnog proračuna su povećani su u odnosu na prethodnu godinu zbog obnove starog dijela škole.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1.548.218,15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1.812.089,29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Povećanje rashoda za zaposlene zbog povećanja osnovica za izračun plaća tijekom ove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49.271,20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57.079,78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w:t>
            </w:r>
          </w:p>
        </w:tc>
      </w:tr>
    </w:tbl>
    <w:p>
      <w:pPr>
        <w:spacing w:before="0" w:after="0"/>
      </w:pPr>
    </w:p>
    <w:p>
      <w:r>
        <w:t xml:space="preserve">Povećanje naknada za prijevoz, za rad na terenu i odvojeni život zbog povećanja cijena autobusnih karata i broja zaposlenika koji imaju pravo na putne troškove do mjesta rada.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r>
        <w:t xml:space="preserve">Povećanje ostalih naknada troškova zaposlenima zbog veće potrebe odlazaka na stručna usavršavanja i natjecanja.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33.567,87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w:t>
            </w:r>
          </w:p>
        </w:tc>
      </w:tr>
    </w:tbl>
    <w:p>
      <w:pPr>
        <w:spacing w:before="0" w:after="0"/>
      </w:pPr>
    </w:p>
    <w:p>
      <w:r>
        <w:t xml:space="preserve">Veća potreba za uredskim materijalom i ostalim materijalnim rashodima, ali i povećanje cijena navedenog materijala.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347,7</w:t>
            </w:r>
          </w:p>
        </w:tc>
      </w:tr>
    </w:tbl>
    <w:p>
      <w:pPr>
        <w:spacing w:before="0" w:after="0"/>
      </w:pPr>
    </w:p>
    <w:p>
      <w:r>
        <w:t xml:space="preserve">Veća potreba za sitnim inventarom nego protekle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583,1</w:t>
            </w:r>
          </w:p>
        </w:tc>
      </w:tr>
    </w:tbl>
    <w:p>
      <w:pPr>
        <w:spacing w:before="0" w:after="0"/>
      </w:pPr>
    </w:p>
    <w:p>
      <w:r>
        <w:t xml:space="preserve">Zbog Protokola o sigurnosti ulaska i izlaska u šk ustanovama trebalo je osigurati tehničku prilagodbu svih ulaznih vrata u školi. Veći broj servisa i popravaka školskih uređaja i aparata, kao i porast cijena navedenih usluga.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16.668,77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33.351,94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w:t>
            </w:r>
          </w:p>
        </w:tc>
      </w:tr>
    </w:tbl>
    <w:p>
      <w:pPr>
        <w:spacing w:before="0" w:after="0"/>
      </w:pPr>
    </w:p>
    <w:p>
      <w:r>
        <w:t xml:space="preserve">Povećanje ostalih usluga u odnosu na proteklu godinu zbog brušenja parketa u učionicama.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167,7</w:t>
            </w:r>
          </w:p>
        </w:tc>
      </w:tr>
    </w:tbl>
    <w:p>
      <w:pPr>
        <w:spacing w:before="0" w:after="0"/>
      </w:pPr>
    </w:p>
    <w:p>
      <w:r>
        <w:t xml:space="preserve">Povećanje premije osiguranja radi povećanja cijena osiguravajuće kuće.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217,4</w:t>
            </w:r>
          </w:p>
        </w:tc>
      </w:tr>
    </w:tbl>
    <w:p>
      <w:pPr>
        <w:spacing w:before="0" w:after="0"/>
      </w:pPr>
    </w:p>
    <w:p>
      <w:r>
        <w:t xml:space="preserve">Veći broj održavanja školskih manifestacija na kojima su sudjelovali uzvanici iz drugih škola te uvaženi gosti.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w:t>
            </w:r>
          </w:p>
        </w:tc>
      </w:tr>
    </w:tbl>
    <w:p>
      <w:pPr>
        <w:spacing w:before="0" w:after="0"/>
      </w:pPr>
    </w:p>
    <w:p>
      <w:r>
        <w:t xml:space="preserve">Povećana potreba za nabavu računala, telefonske centrale, klima uređaja za informatičke učionice.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3442,7</w:t>
            </w:r>
          </w:p>
        </w:tc>
      </w:tr>
    </w:tbl>
    <w:p>
      <w:pPr>
        <w:spacing w:before="0" w:after="0"/>
      </w:pPr>
    </w:p>
    <w:p>
      <w:r>
        <w:t xml:space="preserve">Uređenje starog dijela škole - zamjena vanjske stolarije, rasvjete, parketa, bojanje zidova.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140.960,31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odnosi se na plaće, naknade i materijalna prava zaposlenika, prehranu u školskoj kuhinji za prosinac 2025.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1.241.724,78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2.293.648,36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w:t>
            </w:r>
          </w:p>
        </w:tc>
      </w:tr>
    </w:tbl>
    <w:p>
      <w:pPr>
        <w:spacing w:before="0" w:after="0"/>
      </w:pPr>
    </w:p>
    <w:p>
      <w:r>
        <w:t xml:space="preserve">Povećanje zbog uređenja starog dijela škole - zamjena vanjske stolarije, rasvjete, parketa, bojanja zidova i sportske dvorane.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-149.988,89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1835,3</w:t>
            </w:r>
          </w:p>
        </w:tc>
      </w:tr>
    </w:tbl>
    <w:p>
      <w:pPr>
        <w:spacing w:before="0" w:after="0"/>
      </w:pPr>
    </w:p>
    <w:p>
      <w:r>
        <w:t xml:space="preserve">Rezultat  poslovanja na kraju godine je negativan zbog rashoda za zaposlene (plaće djelatnika) koji se od ove godine prikazuju na dan 31.12.2025., dok su se proteklih godina prikazivali na kontu 193 koji je ukinuti (Kontinuirani rashodi budućih razdoblja). Samim time nastao je manjak koji će biti pokriveni isplatom plaće u siječnju 2026. godine. Takvom rezultatu pridonosi i manjak prihoda za školsku kuhinju čiji su troškovi su nastali u prosincu ove godine, a čiji se prihodi očekuju tijekom siječnja 2026. godine.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69.484,68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imovine odnosi se na amortizaciju proizvedene dugotrajne imovine.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Povećanje obujma imovine odnosi se na darovane knjige od strane Varaždinske županije po zaključcima.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odnosi se na obveze za povrat u proračun Varaždinske županije po projektu energetske obnove i korištenje obnovljivih izvora energije na objektu područne škole Nedeljanec.</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164.743,90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odnosi se na plaće, naknade i materijalna prava zaposlenika za prosinac 2025. godine te račune za materijalne troškove čija je valuta u 2026. godini.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se odnose na refundaciju bolovanja na teret HZZO-a.</w:t>
      </w:r>
    </w:p>
    <w:p/>
    <w:p>
      <w:pPr>
        <w:jc w:val="center"/>
        <w:pStyle w:val="Normal"/>
        <w:spacing w:line="240" w:lineRule="auto"/>
        <w:keepNext/>
      </w:pPr>
      <w:r>
        <w:rPr>
          <w:sz w:val="28"/>
          <w:rFonts w:ascii="Times New Roman" w:hAnsi="Times New Roman"/>
        </w:rPr>
        <w:t xml:space="preserve">Bilješka 24.</w:t>
      </w:r>
    </w:p>
    <w:p>
      <w:pPr>
        <w:jc w:val="both"/>
        <w:pStyle w:val="Normal"/>
        <w:spacing w:line="240" w:lineRule="auto"/>
      </w:pPr>
      <w:r>
        <w:rPr>
          <w:b/>
          <w:sz w:val="24"/>
          <w:rFonts w:ascii="Times New Roman" w:hAnsi="Times New Roman"/>
        </w:rPr>
        <w:t xml:space="preserve">EU izvještaj</w:t>
      </w:r>
    </w:p>
    <w:p>
      <w:r>
        <w:rPr>
          <w:b/>
        </w:rPr>
        <w:t xml:space="preserve">Izvor 510</w:t>
      </w:r>
    </w:p>
    <w:p>
      <w:r>
        <w:t xml:space="preserve">U 2025. godini iskazan je prihod koji se odnosi na sredstva Erasmus+ projekta u kojem je naša škola sudjelovala kao partnerska ustanova, dok je nositelj projekta inozemna institucija. Sredstva su uplaćena tijekom 2025. godine od inozemnog partnera projekta, dio prihoda je utrošen na susret partnera i edukacije. Dio neiskorištenih prihoda iskazati će se kao višak te će se utrošiti u sljedećem obračunskom razdoblju sukladno partnerskom ugovoru i pravilima programa Erasmus+.</w:t>
      </w:r>
    </w:p>
    <w:p>
      <w:r>
        <w:t xml:space="preserve"> </w:t>
      </w:r>
    </w:p>
    <w:p>
      <w:r>
        <w:rPr>
          <w:b/>
        </w:rPr>
        <w:t xml:space="preserve">Izvor 561</w:t>
      </w:r>
    </w:p>
    <w:p>
      <w:r>
        <w:t xml:space="preserve">Varaždinska županija provodi projekt „I ti možeš“, koji je prijavljen na Otvoreni (trajni) poziv na dostavu projektnih prijedloga “Osiguravanje pomoćnika u nastavi i stručnih komunikacijskih posrednika učenicima s teškoćama u razvoju u osnovnoškolskim i srednjoškolskim odgojno-obrazovnim ustanovama.</w:t>
      </w:r>
    </w:p>
    <w:p>
      <w:r>
        <w:t xml:space="preserve">U ovom izvještaju prikazani su prihodi u iznosu od 38.250,42 eura i rashodi u iznosu od 43.941,77 eura. Manjak prihoda u iznosu od 5.691,35 eura odnosi se na plaću pomoćnika u nastavi za mjesec prosinac 2025. godine, a prihodi u navedenom iznosu prikazati će se u siječnju 2026. godine kada se isplati plaća. </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06cdbd2783f469a" /></Relationships>
</file>